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C41E" w14:textId="6B9710CB" w:rsidR="001E2A82" w:rsidRDefault="001E2A82" w:rsidP="001E2A82">
      <w:pPr>
        <w:spacing w:after="0" w:line="240" w:lineRule="auto"/>
        <w:jc w:val="center"/>
        <w:rPr>
          <w:b/>
          <w:bCs/>
          <w:u w:val="single"/>
        </w:rPr>
      </w:pPr>
      <w:r w:rsidRPr="001E2A82">
        <w:rPr>
          <w:b/>
          <w:bCs/>
          <w:u w:val="single"/>
        </w:rPr>
        <w:t>UWF INTERNAL LOAN GUIDELINES</w:t>
      </w:r>
    </w:p>
    <w:p w14:paraId="4ACC407B" w14:textId="77777777" w:rsidR="001E2A82" w:rsidRDefault="001E2A82" w:rsidP="00184D9A">
      <w:pPr>
        <w:spacing w:after="0" w:line="240" w:lineRule="auto"/>
        <w:jc w:val="both"/>
        <w:rPr>
          <w:b/>
          <w:bCs/>
          <w:u w:val="single"/>
        </w:rPr>
      </w:pPr>
    </w:p>
    <w:p w14:paraId="664BF98A" w14:textId="69826792" w:rsidR="001D1DD0" w:rsidRDefault="001D1DD0" w:rsidP="00184D9A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PURPOSE:</w:t>
      </w:r>
    </w:p>
    <w:p w14:paraId="41DFE841" w14:textId="02518D9E" w:rsidR="001D1DD0" w:rsidRDefault="00E45DE0" w:rsidP="00184D9A">
      <w:pPr>
        <w:spacing w:after="0" w:line="240" w:lineRule="auto"/>
        <w:jc w:val="both"/>
      </w:pPr>
      <w:r>
        <w:t>T</w:t>
      </w:r>
      <w:r w:rsidR="001D1DD0">
        <w:t xml:space="preserve">o establish procedures for obtaining internal loans from </w:t>
      </w:r>
      <w:r w:rsidR="00221346">
        <w:t>the University's</w:t>
      </w:r>
      <w:r w:rsidR="001D1DD0">
        <w:t xml:space="preserve"> cash balances for certain purchases of equipment, construction, and major renovation projects. Internal loans will provide a financing alternative for </w:t>
      </w:r>
      <w:r w:rsidR="00B04EE1">
        <w:t>Division</w:t>
      </w:r>
      <w:r w:rsidR="00F71B79">
        <w:t xml:space="preserve">s </w:t>
      </w:r>
      <w:r w:rsidR="001D1DD0">
        <w:t xml:space="preserve">seeking financing. </w:t>
      </w:r>
    </w:p>
    <w:p w14:paraId="3A288006" w14:textId="77777777" w:rsidR="00184D9A" w:rsidRPr="001D1DD0" w:rsidRDefault="00184D9A" w:rsidP="00184D9A">
      <w:pPr>
        <w:spacing w:after="0" w:line="240" w:lineRule="auto"/>
        <w:jc w:val="both"/>
      </w:pPr>
    </w:p>
    <w:p w14:paraId="6E9269C8" w14:textId="736434D6" w:rsidR="00FB7BC0" w:rsidRPr="00CA0BE1" w:rsidRDefault="00FB7BC0" w:rsidP="00184D9A">
      <w:pPr>
        <w:spacing w:after="0" w:line="240" w:lineRule="auto"/>
        <w:jc w:val="both"/>
        <w:rPr>
          <w:b/>
          <w:bCs/>
          <w:u w:val="single"/>
        </w:rPr>
      </w:pPr>
      <w:r w:rsidRPr="00CA0BE1">
        <w:rPr>
          <w:b/>
          <w:bCs/>
          <w:u w:val="single"/>
        </w:rPr>
        <w:t xml:space="preserve">GENERAL GUIDELINES: </w:t>
      </w:r>
    </w:p>
    <w:p w14:paraId="3E54E07F" w14:textId="08F74CC2" w:rsidR="00221346" w:rsidRDefault="00221346" w:rsidP="00184D9A">
      <w:pPr>
        <w:spacing w:after="0" w:line="240" w:lineRule="auto"/>
        <w:jc w:val="both"/>
      </w:pPr>
      <w:r>
        <w:t>An internal loan is analogous to a bank loan</w:t>
      </w:r>
      <w:r w:rsidR="007459F8">
        <w:t>,</w:t>
      </w:r>
      <w:r>
        <w:t xml:space="preserve"> except that the University is advancing money to one of its </w:t>
      </w:r>
      <w:r w:rsidR="00B04EE1">
        <w:t>Division</w:t>
      </w:r>
      <w:r w:rsidR="007B15FF">
        <w:t>s</w:t>
      </w:r>
      <w:r>
        <w:t xml:space="preserve">. A </w:t>
      </w:r>
      <w:r w:rsidR="00B04EE1">
        <w:t>Division</w:t>
      </w:r>
      <w:r w:rsidR="00F71B79">
        <w:t xml:space="preserve"> </w:t>
      </w:r>
      <w:r>
        <w:t>borrows from the University’s working capital and pays this debt back, with interest, over a fixed period through monthly charges to its operating account.</w:t>
      </w:r>
    </w:p>
    <w:p w14:paraId="16297804" w14:textId="77777777" w:rsidR="001E2A82" w:rsidRPr="001D1DD0" w:rsidRDefault="001E2A82" w:rsidP="00184D9A">
      <w:pPr>
        <w:spacing w:after="0" w:line="240" w:lineRule="auto"/>
        <w:jc w:val="both"/>
      </w:pPr>
    </w:p>
    <w:p w14:paraId="5EB94CDF" w14:textId="71E49DD8" w:rsidR="005705BA" w:rsidRDefault="00F37578" w:rsidP="00184D9A">
      <w:pPr>
        <w:spacing w:after="0" w:line="240" w:lineRule="auto"/>
        <w:jc w:val="both"/>
      </w:pPr>
      <w:r>
        <w:t xml:space="preserve">Internal loans may be used to finance capital projects and/or major equipment purchases </w:t>
      </w:r>
      <w:r w:rsidR="00411C86">
        <w:t>to allow</w:t>
      </w:r>
      <w:r>
        <w:t xml:space="preserve"> the Division </w:t>
      </w:r>
      <w:r w:rsidR="00411C86">
        <w:t>to</w:t>
      </w:r>
      <w:r>
        <w:t xml:space="preserve"> pay over a longer term versus immediately. </w:t>
      </w:r>
      <w:r w:rsidR="00EA4D31">
        <w:t>To qualify, all</w:t>
      </w:r>
      <w:r w:rsidR="00FB7BC0">
        <w:t xml:space="preserve"> loan requests must be $100,000 or greater. </w:t>
      </w:r>
      <w:r w:rsidR="00B04EE1">
        <w:t>Division</w:t>
      </w:r>
      <w:r w:rsidR="007B15FF">
        <w:t>s</w:t>
      </w:r>
      <w:r w:rsidR="00FB7BC0">
        <w:t xml:space="preserve"> seeking internal loan financing should provide the purpose of the loan and its relationship to the University’s mission, vision</w:t>
      </w:r>
      <w:r w:rsidR="009D1225">
        <w:t>,</w:t>
      </w:r>
      <w:r w:rsidR="00FB7BC0">
        <w:t xml:space="preserve"> and strategic plan</w:t>
      </w:r>
      <w:r w:rsidR="001E2A82">
        <w:t xml:space="preserve">. </w:t>
      </w:r>
      <w:r w:rsidR="00E45DE0">
        <w:t xml:space="preserve">The Division should also </w:t>
      </w:r>
      <w:r w:rsidR="001E2A82">
        <w:t>demonstrate its</w:t>
      </w:r>
      <w:r w:rsidR="00E45DE0">
        <w:t xml:space="preserve"> ability to pay the debt service on</w:t>
      </w:r>
      <w:r w:rsidR="00FB7BC0">
        <w:t xml:space="preserve"> the loan amount as compared to the total cost of the equipment or capital </w:t>
      </w:r>
      <w:r w:rsidR="001E2A82">
        <w:t>project.</w:t>
      </w:r>
      <w:r w:rsidR="00FB7BC0">
        <w:t xml:space="preserve"> In addition, the </w:t>
      </w:r>
      <w:r w:rsidR="00B04EE1">
        <w:t>Division</w:t>
      </w:r>
      <w:r w:rsidR="00FB7BC0">
        <w:t xml:space="preserve"> should consider current funding opportunities such as operations, reserves, and carryforwards</w:t>
      </w:r>
      <w:r w:rsidR="00411C86">
        <w:t>,</w:t>
      </w:r>
      <w:r w:rsidR="00FB7BC0">
        <w:t xml:space="preserve"> </w:t>
      </w:r>
      <w:r w:rsidR="009D1225">
        <w:t>before</w:t>
      </w:r>
      <w:r w:rsidR="00FB7BC0">
        <w:t xml:space="preserve"> requesting an internal loan.</w:t>
      </w:r>
    </w:p>
    <w:p w14:paraId="392813BA" w14:textId="77777777" w:rsidR="00411C86" w:rsidRDefault="00411C86" w:rsidP="00184D9A">
      <w:pPr>
        <w:spacing w:after="0" w:line="240" w:lineRule="auto"/>
        <w:jc w:val="both"/>
      </w:pPr>
    </w:p>
    <w:p w14:paraId="04046B58" w14:textId="31BA6553" w:rsidR="00FB7BC0" w:rsidRDefault="007B15FF" w:rsidP="00184D9A">
      <w:pPr>
        <w:spacing w:after="0" w:line="240" w:lineRule="auto"/>
        <w:jc w:val="both"/>
      </w:pPr>
      <w:r>
        <w:t xml:space="preserve">The </w:t>
      </w:r>
      <w:r w:rsidR="00B04EE1">
        <w:t>Division</w:t>
      </w:r>
      <w:r w:rsidR="00FB7BC0">
        <w:t xml:space="preserve"> should work with </w:t>
      </w:r>
      <w:r>
        <w:t xml:space="preserve">its </w:t>
      </w:r>
      <w:r w:rsidR="00FB7BC0">
        <w:t xml:space="preserve">business officer and seek approval from </w:t>
      </w:r>
      <w:r>
        <w:t xml:space="preserve">its </w:t>
      </w:r>
      <w:r w:rsidR="00E45DE0">
        <w:t xml:space="preserve">Division </w:t>
      </w:r>
      <w:r w:rsidR="00D26770">
        <w:t>Vice President</w:t>
      </w:r>
      <w:r w:rsidR="00411C86">
        <w:t>,</w:t>
      </w:r>
      <w:r w:rsidR="00FB7BC0">
        <w:t xml:space="preserve"> before submitting an application request </w:t>
      </w:r>
      <w:r w:rsidR="001D1DD0">
        <w:t xml:space="preserve">to </w:t>
      </w:r>
      <w:r w:rsidR="00FB7BC0">
        <w:t xml:space="preserve">the University </w:t>
      </w:r>
      <w:r w:rsidR="001D1DD0">
        <w:t xml:space="preserve">Vice President, Finance </w:t>
      </w:r>
      <w:r w:rsidR="00411C86">
        <w:t>and</w:t>
      </w:r>
      <w:r w:rsidR="001D1DD0">
        <w:t xml:space="preserve"> Administration/Chief Financial Officer (</w:t>
      </w:r>
      <w:r w:rsidR="00D26770">
        <w:t>VP/</w:t>
      </w:r>
      <w:r w:rsidR="00FB7BC0">
        <w:t>CFO</w:t>
      </w:r>
      <w:r w:rsidR="001D1DD0">
        <w:t>)</w:t>
      </w:r>
      <w:r w:rsidR="00FB7BC0">
        <w:t>.</w:t>
      </w:r>
      <w:r w:rsidR="001D1DD0">
        <w:t xml:space="preserve"> Internal loans require approval </w:t>
      </w:r>
      <w:r w:rsidR="00E45DE0">
        <w:t xml:space="preserve">of </w:t>
      </w:r>
      <w:r w:rsidR="001D1DD0">
        <w:t>the</w:t>
      </w:r>
      <w:r w:rsidR="00D26770">
        <w:t xml:space="preserve"> VP</w:t>
      </w:r>
      <w:r w:rsidR="001D1DD0">
        <w:t xml:space="preserve">/CFO, </w:t>
      </w:r>
      <w:r w:rsidR="007459F8">
        <w:t xml:space="preserve">the Senior </w:t>
      </w:r>
      <w:r w:rsidR="001D1DD0">
        <w:t xml:space="preserve">Executive Vice President/Provost, and </w:t>
      </w:r>
      <w:r w:rsidR="007459F8">
        <w:t xml:space="preserve">the </w:t>
      </w:r>
      <w:r w:rsidR="001D1DD0">
        <w:t>President.</w:t>
      </w:r>
      <w:r w:rsidR="00272EB3">
        <w:t xml:space="preserve"> Internal loans </w:t>
      </w:r>
      <w:r w:rsidR="00E45DE0">
        <w:t xml:space="preserve">exceeding </w:t>
      </w:r>
      <w:r w:rsidR="00272EB3">
        <w:t>$5,000,000</w:t>
      </w:r>
      <w:r w:rsidR="00167852">
        <w:t xml:space="preserve"> or </w:t>
      </w:r>
      <w:r w:rsidR="00E45DE0">
        <w:t xml:space="preserve">for </w:t>
      </w:r>
      <w:r w:rsidR="001C350F">
        <w:t xml:space="preserve">more than five </w:t>
      </w:r>
      <w:r w:rsidR="009C23A0">
        <w:t>years must</w:t>
      </w:r>
      <w:r w:rsidR="00272EB3">
        <w:t xml:space="preserve"> </w:t>
      </w:r>
      <w:r w:rsidR="00E45DE0">
        <w:t xml:space="preserve">be approved by </w:t>
      </w:r>
      <w:r w:rsidR="00272EB3">
        <w:t xml:space="preserve">the Board of Trustees chair. </w:t>
      </w:r>
    </w:p>
    <w:p w14:paraId="3989A888" w14:textId="77777777" w:rsidR="001E2A82" w:rsidRDefault="001E2A82" w:rsidP="00184D9A">
      <w:pPr>
        <w:spacing w:after="0" w:line="240" w:lineRule="auto"/>
        <w:jc w:val="both"/>
      </w:pPr>
    </w:p>
    <w:p w14:paraId="07B90095" w14:textId="7A2CB4D7" w:rsidR="00FB7BC0" w:rsidRDefault="00FB7BC0" w:rsidP="00184D9A">
      <w:pPr>
        <w:spacing w:after="0" w:line="240" w:lineRule="auto"/>
        <w:jc w:val="both"/>
      </w:pPr>
      <w:r>
        <w:t xml:space="preserve">Final approval for internal loans will be granted by the </w:t>
      </w:r>
      <w:r w:rsidR="001D1DD0">
        <w:t>VP/</w:t>
      </w:r>
      <w:r w:rsidR="00046AE5">
        <w:t>CFO</w:t>
      </w:r>
      <w:r>
        <w:t xml:space="preserve"> after review by the </w:t>
      </w:r>
      <w:r w:rsidR="001D1DD0">
        <w:t xml:space="preserve">Controller’s </w:t>
      </w:r>
      <w:r>
        <w:t xml:space="preserve">Office. Once approved, an internal bank loan agreement </w:t>
      </w:r>
      <w:r w:rsidR="00DA48D2">
        <w:t>(Internal Loan Request &amp; Approval Form)</w:t>
      </w:r>
      <w:r>
        <w:t xml:space="preserve"> will be executed between the </w:t>
      </w:r>
      <w:r w:rsidR="001D1DD0">
        <w:t xml:space="preserve">Controller’s </w:t>
      </w:r>
      <w:r>
        <w:t xml:space="preserve">Office and the </w:t>
      </w:r>
      <w:r w:rsidR="00B04EE1">
        <w:t>Division</w:t>
      </w:r>
      <w:r>
        <w:t xml:space="preserve"> to memorialize the loan.</w:t>
      </w:r>
    </w:p>
    <w:p w14:paraId="07A28AF8" w14:textId="77777777" w:rsidR="00184D9A" w:rsidRDefault="00184D9A" w:rsidP="00184D9A">
      <w:pPr>
        <w:spacing w:after="0" w:line="240" w:lineRule="auto"/>
        <w:jc w:val="both"/>
      </w:pPr>
    </w:p>
    <w:p w14:paraId="5F5807AE" w14:textId="20228921" w:rsidR="00FB7BC0" w:rsidRDefault="00FB7BC0" w:rsidP="00184D9A">
      <w:pPr>
        <w:spacing w:after="0" w:line="240" w:lineRule="auto"/>
        <w:jc w:val="both"/>
      </w:pPr>
      <w:r>
        <w:t>Th</w:t>
      </w:r>
      <w:r w:rsidR="009D1225">
        <w:t xml:space="preserve">ree </w:t>
      </w:r>
      <w:r w:rsidR="00411C86">
        <w:t xml:space="preserve">(3) </w:t>
      </w:r>
      <w:r w:rsidR="009D1225">
        <w:t>financial vehicles</w:t>
      </w:r>
      <w:r>
        <w:t xml:space="preserve"> </w:t>
      </w:r>
      <w:r w:rsidR="00411C86">
        <w:t>may</w:t>
      </w:r>
      <w:r>
        <w:t xml:space="preserve"> be utilized for capital projects and/or </w:t>
      </w:r>
      <w:r w:rsidR="00A02088">
        <w:t xml:space="preserve">major </w:t>
      </w:r>
      <w:r>
        <w:t>equipment purchases. Before applying, please review the overview of each of these financial vehicles.</w:t>
      </w:r>
    </w:p>
    <w:p w14:paraId="586BABC0" w14:textId="77777777" w:rsidR="00184D9A" w:rsidRDefault="00184D9A" w:rsidP="00184D9A">
      <w:pPr>
        <w:spacing w:after="0" w:line="240" w:lineRule="auto"/>
        <w:jc w:val="both"/>
      </w:pPr>
    </w:p>
    <w:p w14:paraId="04E3C9D6" w14:textId="667886D5" w:rsidR="00FB7BC0" w:rsidRPr="001D1DD0" w:rsidRDefault="00FB7BC0" w:rsidP="00184D9A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</w:rPr>
      </w:pPr>
      <w:r w:rsidRPr="001D1DD0">
        <w:rPr>
          <w:b/>
          <w:bCs/>
        </w:rPr>
        <w:t>Local Funds</w:t>
      </w:r>
    </w:p>
    <w:p w14:paraId="16311669" w14:textId="77777777" w:rsidR="00FB7BC0" w:rsidRDefault="00FB7BC0" w:rsidP="00184D9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Purpose</w:t>
      </w:r>
    </w:p>
    <w:p w14:paraId="74357689" w14:textId="316A6D64" w:rsidR="00FB7BC0" w:rsidRDefault="00FB7BC0" w:rsidP="00184D9A">
      <w:pPr>
        <w:spacing w:after="0" w:line="240" w:lineRule="auto"/>
        <w:ind w:firstLine="720"/>
        <w:jc w:val="both"/>
      </w:pPr>
      <w:r>
        <w:t xml:space="preserve">– To fund investments that do not qualify for </w:t>
      </w:r>
      <w:r w:rsidR="00167852">
        <w:t xml:space="preserve">an </w:t>
      </w:r>
      <w:r>
        <w:t>internal loan or bridge financing.</w:t>
      </w:r>
    </w:p>
    <w:p w14:paraId="42114F0B" w14:textId="77777777" w:rsidR="00FB7BC0" w:rsidRDefault="00FB7BC0" w:rsidP="00184D9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Restrictions</w:t>
      </w:r>
    </w:p>
    <w:p w14:paraId="2D123AC7" w14:textId="77777777" w:rsidR="00FB7BC0" w:rsidRDefault="00FB7BC0" w:rsidP="00184D9A">
      <w:pPr>
        <w:spacing w:after="0" w:line="240" w:lineRule="auto"/>
        <w:ind w:firstLine="720"/>
        <w:jc w:val="both"/>
      </w:pPr>
      <w:r>
        <w:t>– None. Funds should be used in accordance with the unit’s mission.</w:t>
      </w:r>
    </w:p>
    <w:p w14:paraId="2F65BFB5" w14:textId="77777777" w:rsidR="00FB7BC0" w:rsidRDefault="00FB7BC0" w:rsidP="00184D9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Term</w:t>
      </w:r>
    </w:p>
    <w:p w14:paraId="6D784D4E" w14:textId="77777777" w:rsidR="00FB7BC0" w:rsidRDefault="00FB7BC0" w:rsidP="00184D9A">
      <w:pPr>
        <w:spacing w:after="0" w:line="240" w:lineRule="auto"/>
        <w:ind w:firstLine="720"/>
        <w:jc w:val="both"/>
      </w:pPr>
      <w:r>
        <w:t>– N/A</w:t>
      </w:r>
    </w:p>
    <w:p w14:paraId="3B3A9F46" w14:textId="77777777" w:rsidR="00FB7BC0" w:rsidRDefault="00FB7BC0" w:rsidP="00184D9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Rate</w:t>
      </w:r>
    </w:p>
    <w:p w14:paraId="525BA0F2" w14:textId="445B4809" w:rsidR="00FB7BC0" w:rsidRDefault="00FB7BC0" w:rsidP="00184D9A">
      <w:pPr>
        <w:spacing w:after="0" w:line="240" w:lineRule="auto"/>
        <w:ind w:firstLine="720"/>
        <w:jc w:val="both"/>
      </w:pPr>
      <w:r>
        <w:t>– N/A</w:t>
      </w:r>
    </w:p>
    <w:p w14:paraId="203A434D" w14:textId="76E7A74A" w:rsidR="00FB7BC0" w:rsidRPr="001D1DD0" w:rsidRDefault="00FB7BC0" w:rsidP="00184D9A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</w:rPr>
      </w:pPr>
      <w:r w:rsidRPr="001D1DD0">
        <w:rPr>
          <w:b/>
          <w:bCs/>
        </w:rPr>
        <w:t>Bridge Financing</w:t>
      </w:r>
    </w:p>
    <w:p w14:paraId="5B802251" w14:textId="77777777" w:rsidR="00FB7BC0" w:rsidRDefault="00FB7BC0" w:rsidP="00184D9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Purpose</w:t>
      </w:r>
    </w:p>
    <w:p w14:paraId="5DB16773" w14:textId="77777777" w:rsidR="00FB7BC0" w:rsidRDefault="00FB7BC0" w:rsidP="00184D9A">
      <w:pPr>
        <w:spacing w:after="0" w:line="240" w:lineRule="auto"/>
        <w:ind w:left="720"/>
        <w:jc w:val="both"/>
      </w:pPr>
      <w:r>
        <w:t>– To fund capital projects with donor commitments that are to be received over an extended period.</w:t>
      </w:r>
    </w:p>
    <w:p w14:paraId="79DA8170" w14:textId="77777777" w:rsidR="00FB7BC0" w:rsidRDefault="00FB7BC0" w:rsidP="00184D9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Restrictions</w:t>
      </w:r>
    </w:p>
    <w:p w14:paraId="4EA49DA6" w14:textId="77777777" w:rsidR="00FB7BC0" w:rsidRDefault="00FB7BC0" w:rsidP="00184D9A">
      <w:pPr>
        <w:spacing w:after="0" w:line="240" w:lineRule="auto"/>
        <w:ind w:firstLine="720"/>
        <w:jc w:val="both"/>
      </w:pPr>
      <w:r>
        <w:t>– Bridge loan funding must be deployed within 12 months.</w:t>
      </w:r>
    </w:p>
    <w:p w14:paraId="1C40BBCE" w14:textId="77777777" w:rsidR="00FB7BC0" w:rsidRDefault="00FB7BC0" w:rsidP="00184D9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lastRenderedPageBreak/>
        <w:t>Term</w:t>
      </w:r>
    </w:p>
    <w:p w14:paraId="7A7180C9" w14:textId="5AF361E7" w:rsidR="00FB7BC0" w:rsidRDefault="00FB7BC0" w:rsidP="00184D9A">
      <w:pPr>
        <w:spacing w:after="0" w:line="240" w:lineRule="auto"/>
        <w:ind w:firstLine="720"/>
        <w:jc w:val="both"/>
      </w:pPr>
      <w:r>
        <w:t>– The bridge loan has a 5-year term.</w:t>
      </w:r>
    </w:p>
    <w:p w14:paraId="6F668CA3" w14:textId="77777777" w:rsidR="00FB7BC0" w:rsidRDefault="00FB7BC0" w:rsidP="00184D9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Rate</w:t>
      </w:r>
    </w:p>
    <w:p w14:paraId="4C2E3F87" w14:textId="3064ECF1" w:rsidR="00FB7BC0" w:rsidRDefault="00FB7BC0" w:rsidP="00184D9A">
      <w:pPr>
        <w:spacing w:after="0" w:line="240" w:lineRule="auto"/>
        <w:ind w:firstLine="720"/>
        <w:jc w:val="both"/>
      </w:pPr>
      <w:r>
        <w:t xml:space="preserve">– Federal funds rate at </w:t>
      </w:r>
      <w:r w:rsidR="00411C86">
        <w:t xml:space="preserve">the </w:t>
      </w:r>
      <w:r>
        <w:t xml:space="preserve">time of </w:t>
      </w:r>
      <w:r w:rsidR="00411C86">
        <w:t xml:space="preserve">the </w:t>
      </w:r>
      <w:r>
        <w:t>request.</w:t>
      </w:r>
    </w:p>
    <w:p w14:paraId="53E97730" w14:textId="23E4DA74" w:rsidR="00FB7BC0" w:rsidRPr="001D1DD0" w:rsidRDefault="00CA0BE1" w:rsidP="00184D9A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</w:rPr>
      </w:pPr>
      <w:r w:rsidRPr="001D1DD0">
        <w:rPr>
          <w:b/>
          <w:bCs/>
        </w:rPr>
        <w:t>I</w:t>
      </w:r>
      <w:r w:rsidR="00FB7BC0" w:rsidRPr="001D1DD0">
        <w:rPr>
          <w:b/>
          <w:bCs/>
        </w:rPr>
        <w:t>nternal Loan</w:t>
      </w:r>
    </w:p>
    <w:p w14:paraId="74E58F8C" w14:textId="77777777" w:rsidR="00FB7BC0" w:rsidRDefault="00FB7BC0" w:rsidP="00184D9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Purpose</w:t>
      </w:r>
    </w:p>
    <w:p w14:paraId="25C0D8C9" w14:textId="167D2097" w:rsidR="00FB7BC0" w:rsidRDefault="00FB7BC0" w:rsidP="00184D9A">
      <w:pPr>
        <w:spacing w:after="0" w:line="240" w:lineRule="auto"/>
        <w:ind w:left="720"/>
        <w:jc w:val="both"/>
      </w:pPr>
      <w:r>
        <w:t xml:space="preserve">– To finance capital projects or </w:t>
      </w:r>
      <w:r w:rsidR="00A02088">
        <w:t xml:space="preserve">major </w:t>
      </w:r>
      <w:r>
        <w:t xml:space="preserve">equipment </w:t>
      </w:r>
      <w:r w:rsidR="00A02088">
        <w:t xml:space="preserve">purchases </w:t>
      </w:r>
      <w:r>
        <w:t>that do not qualify for bridge financing and/or are too expensive for units to leverage reserves/carryforward</w:t>
      </w:r>
      <w:r w:rsidR="00F37578">
        <w:t xml:space="preserve"> funding</w:t>
      </w:r>
      <w:r>
        <w:t>.</w:t>
      </w:r>
    </w:p>
    <w:p w14:paraId="72495249" w14:textId="77777777" w:rsidR="00FB7BC0" w:rsidRDefault="00FB7BC0" w:rsidP="00184D9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Restrictions</w:t>
      </w:r>
    </w:p>
    <w:p w14:paraId="01E6AE5D" w14:textId="58AA23E8" w:rsidR="00FB7BC0" w:rsidRDefault="00FB7BC0" w:rsidP="00184D9A">
      <w:pPr>
        <w:spacing w:after="0" w:line="240" w:lineRule="auto"/>
        <w:ind w:left="720"/>
        <w:jc w:val="both"/>
      </w:pPr>
      <w:r>
        <w:t>– The Internal Loan program is subject to a continued positive cash position and positive credit ratings</w:t>
      </w:r>
      <w:r w:rsidR="007459F8">
        <w:t>,</w:t>
      </w:r>
      <w:r>
        <w:t xml:space="preserve"> in accordance with </w:t>
      </w:r>
      <w:r w:rsidR="007459F8">
        <w:t xml:space="preserve">the </w:t>
      </w:r>
      <w:r>
        <w:t xml:space="preserve">President and </w:t>
      </w:r>
      <w:r w:rsidR="007459F8">
        <w:t xml:space="preserve">the </w:t>
      </w:r>
      <w:r>
        <w:t xml:space="preserve">Board </w:t>
      </w:r>
      <w:r w:rsidR="00F37578">
        <w:t>of Trustee</w:t>
      </w:r>
      <w:r w:rsidR="007459F8">
        <w:t>s</w:t>
      </w:r>
      <w:r w:rsidR="00F37578">
        <w:t xml:space="preserve"> </w:t>
      </w:r>
      <w:r>
        <w:t>directives.</w:t>
      </w:r>
    </w:p>
    <w:p w14:paraId="09BBD25F" w14:textId="77777777" w:rsidR="00FB7BC0" w:rsidRDefault="00FB7BC0" w:rsidP="00184D9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Term</w:t>
      </w:r>
    </w:p>
    <w:p w14:paraId="05823CEA" w14:textId="77777777" w:rsidR="00FB7BC0" w:rsidRDefault="00FB7BC0" w:rsidP="00184D9A">
      <w:pPr>
        <w:spacing w:after="0" w:line="240" w:lineRule="auto"/>
        <w:ind w:firstLine="720"/>
        <w:jc w:val="both"/>
      </w:pPr>
      <w:r>
        <w:t>– 1-20 years.</w:t>
      </w:r>
    </w:p>
    <w:p w14:paraId="7067A287" w14:textId="77777777" w:rsidR="00FB7BC0" w:rsidRDefault="00FB7BC0" w:rsidP="00184D9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Rate</w:t>
      </w:r>
    </w:p>
    <w:p w14:paraId="52D31B91" w14:textId="408E3400" w:rsidR="00FB7BC0" w:rsidRDefault="00FB7BC0" w:rsidP="00184D9A">
      <w:pPr>
        <w:spacing w:after="0" w:line="240" w:lineRule="auto"/>
        <w:ind w:left="900" w:hanging="180"/>
        <w:jc w:val="both"/>
      </w:pPr>
      <w:r>
        <w:t xml:space="preserve">– Federal funds rate at </w:t>
      </w:r>
      <w:r w:rsidR="00167852">
        <w:t xml:space="preserve">the </w:t>
      </w:r>
      <w:r>
        <w:t xml:space="preserve">time of </w:t>
      </w:r>
      <w:r w:rsidR="00411C86">
        <w:t xml:space="preserve">the </w:t>
      </w:r>
      <w:r>
        <w:t>request</w:t>
      </w:r>
      <w:r w:rsidR="00167852">
        <w:t xml:space="preserve">, such as </w:t>
      </w:r>
      <w:r w:rsidR="007459F8">
        <w:t>t</w:t>
      </w:r>
      <w:r w:rsidR="000E6D58">
        <w:t xml:space="preserve">he State of Florida Special Purpose Investment Account (SPIA) </w:t>
      </w:r>
      <w:r w:rsidR="00F71B79">
        <w:t>rates.</w:t>
      </w:r>
    </w:p>
    <w:p w14:paraId="06B68E9C" w14:textId="77777777" w:rsidR="00CA0BE1" w:rsidRDefault="00CA0BE1" w:rsidP="00184D9A">
      <w:pPr>
        <w:spacing w:after="0" w:line="240" w:lineRule="auto"/>
        <w:ind w:firstLine="720"/>
        <w:jc w:val="both"/>
      </w:pPr>
    </w:p>
    <w:p w14:paraId="07D56CA9" w14:textId="77777777" w:rsidR="00FB7BC0" w:rsidRPr="00CA0BE1" w:rsidRDefault="00FB7BC0" w:rsidP="00184D9A">
      <w:pPr>
        <w:spacing w:after="0" w:line="240" w:lineRule="auto"/>
        <w:jc w:val="both"/>
        <w:rPr>
          <w:b/>
          <w:bCs/>
          <w:u w:val="single"/>
        </w:rPr>
      </w:pPr>
      <w:r w:rsidRPr="00CA0BE1">
        <w:rPr>
          <w:b/>
          <w:bCs/>
          <w:u w:val="single"/>
        </w:rPr>
        <w:t>INTEREST RATES:</w:t>
      </w:r>
    </w:p>
    <w:p w14:paraId="21B640D9" w14:textId="2A6DBD8A" w:rsidR="00FB7BC0" w:rsidRDefault="00FB7BC0" w:rsidP="00184D9A">
      <w:pPr>
        <w:spacing w:after="0" w:line="240" w:lineRule="auto"/>
        <w:jc w:val="both"/>
      </w:pPr>
      <w:r>
        <w:t xml:space="preserve">The interest rate charged to the </w:t>
      </w:r>
      <w:r w:rsidR="00B04EE1">
        <w:t>Division</w:t>
      </w:r>
      <w:r>
        <w:t xml:space="preserve"> will be fixed over the life of the loan with the ability to adjust for loans spanning longer than 5 years, at the </w:t>
      </w:r>
      <w:r w:rsidR="001D1DD0">
        <w:t xml:space="preserve">Controller’s </w:t>
      </w:r>
      <w:r>
        <w:t>Office discretion. Interest rates will be calculated</w:t>
      </w:r>
      <w:r w:rsidR="00411C86">
        <w:t>,</w:t>
      </w:r>
      <w:r>
        <w:t xml:space="preserve"> based on </w:t>
      </w:r>
      <w:r w:rsidR="006E0A5A">
        <w:t xml:space="preserve">the </w:t>
      </w:r>
      <w:r w:rsidR="001E2A82">
        <w:t>average State</w:t>
      </w:r>
      <w:r w:rsidR="000E6D58">
        <w:t xml:space="preserve"> of Florida Special Purpose Investment Account</w:t>
      </w:r>
      <w:r w:rsidR="00D26770">
        <w:t xml:space="preserve"> (SPIA) rate</w:t>
      </w:r>
      <w:r w:rsidR="00272EB3" w:rsidRPr="006E0A5A">
        <w:t>,</w:t>
      </w:r>
      <w:r w:rsidRPr="006E0A5A">
        <w:t xml:space="preserve"> at loan inception</w:t>
      </w:r>
      <w:r>
        <w:t>.</w:t>
      </w:r>
      <w:r w:rsidR="001D1DD0">
        <w:t xml:space="preserve"> </w:t>
      </w:r>
      <w:r w:rsidR="001D1DD0" w:rsidRPr="001D1DD0">
        <w:t>For construction projects, interest accumulates during construction</w:t>
      </w:r>
      <w:r w:rsidR="007459F8">
        <w:t>,</w:t>
      </w:r>
      <w:r w:rsidR="00F37578">
        <w:t xml:space="preserve"> and </w:t>
      </w:r>
      <w:r w:rsidR="007459F8">
        <w:t xml:space="preserve">the </w:t>
      </w:r>
      <w:r w:rsidR="00F37578">
        <w:t>p</w:t>
      </w:r>
      <w:r w:rsidR="001D1DD0" w:rsidRPr="001D1DD0">
        <w:t>rincipal and interest payments commence upon project completion.</w:t>
      </w:r>
      <w:r w:rsidR="001D1DD0">
        <w:t xml:space="preserve"> </w:t>
      </w:r>
    </w:p>
    <w:p w14:paraId="0373BEFE" w14:textId="77777777" w:rsidR="00184D9A" w:rsidRDefault="00184D9A" w:rsidP="00184D9A">
      <w:pPr>
        <w:spacing w:after="0" w:line="240" w:lineRule="auto"/>
        <w:jc w:val="both"/>
        <w:rPr>
          <w:b/>
          <w:bCs/>
          <w:u w:val="single"/>
        </w:rPr>
      </w:pPr>
    </w:p>
    <w:p w14:paraId="5BFF72D9" w14:textId="21FD09F5" w:rsidR="00FB7BC0" w:rsidRPr="00CA0BE1" w:rsidRDefault="00FB7BC0" w:rsidP="00184D9A">
      <w:pPr>
        <w:spacing w:after="0" w:line="240" w:lineRule="auto"/>
        <w:jc w:val="both"/>
        <w:rPr>
          <w:b/>
          <w:bCs/>
          <w:u w:val="single"/>
        </w:rPr>
      </w:pPr>
      <w:r w:rsidRPr="00CA0BE1">
        <w:rPr>
          <w:b/>
          <w:bCs/>
          <w:u w:val="single"/>
        </w:rPr>
        <w:t>TERMS:</w:t>
      </w:r>
    </w:p>
    <w:p w14:paraId="27AF9702" w14:textId="01F195C4" w:rsidR="00046AE5" w:rsidRPr="00184D9A" w:rsidRDefault="00FB7BC0" w:rsidP="00184D9A">
      <w:pPr>
        <w:spacing w:after="0" w:line="240" w:lineRule="auto"/>
        <w:jc w:val="both"/>
      </w:pPr>
      <w:r>
        <w:t xml:space="preserve">In general, loan terms for equipment </w:t>
      </w:r>
      <w:r w:rsidR="00A02088">
        <w:t>may</w:t>
      </w:r>
      <w:r>
        <w:t xml:space="preserve"> be financed for 5 years or </w:t>
      </w:r>
      <w:r w:rsidR="009D1225">
        <w:t xml:space="preserve">the </w:t>
      </w:r>
      <w:r>
        <w:t>life of the asset, whichever is less.</w:t>
      </w:r>
      <w:r w:rsidR="00C107C2">
        <w:t xml:space="preserve"> </w:t>
      </w:r>
      <w:r>
        <w:t xml:space="preserve">Loan terms for capital projects </w:t>
      </w:r>
      <w:r w:rsidR="00411C86">
        <w:t>may</w:t>
      </w:r>
      <w:r>
        <w:t xml:space="preserve"> be financed over 5 years or less for bridge financing</w:t>
      </w:r>
      <w:r w:rsidR="00D26770">
        <w:t>.</w:t>
      </w:r>
      <w:r w:rsidR="007B15FF">
        <w:t xml:space="preserve"> C</w:t>
      </w:r>
      <w:r w:rsidR="00D26770">
        <w:t xml:space="preserve">apital projects may be financed for </w:t>
      </w:r>
      <w:r>
        <w:t>5, 10, or 20 years</w:t>
      </w:r>
      <w:r w:rsidR="007B15FF">
        <w:t>.</w:t>
      </w:r>
      <w:r>
        <w:t xml:space="preserve"> Internal loans at this time cannot exceed 20 years. </w:t>
      </w:r>
      <w:r w:rsidR="001D1DD0" w:rsidRPr="001D1DD0">
        <w:t xml:space="preserve">Internal loans </w:t>
      </w:r>
      <w:r w:rsidR="007459F8">
        <w:t>may</w:t>
      </w:r>
      <w:r w:rsidR="001D1DD0" w:rsidRPr="001D1DD0">
        <w:t xml:space="preserve"> be prepaid without penalty</w:t>
      </w:r>
      <w:r>
        <w:t>.</w:t>
      </w:r>
      <w:r w:rsidR="00C107C2">
        <w:t xml:space="preserve"> T</w:t>
      </w:r>
      <w:r>
        <w:t>he loan start or issuance date will typically be the first day of the month following the capital</w:t>
      </w:r>
      <w:r w:rsidR="00C107C2">
        <w:t xml:space="preserve"> </w:t>
      </w:r>
      <w:r>
        <w:t>project or equipment funding</w:t>
      </w:r>
      <w:r w:rsidR="001E2A82">
        <w:t xml:space="preserve">. </w:t>
      </w:r>
      <w:r w:rsidR="00F37578">
        <w:t>T</w:t>
      </w:r>
      <w:r>
        <w:t>he loan term cannot exceed the useful life of the asset being financed</w:t>
      </w:r>
      <w:r w:rsidR="00D26770">
        <w:t>.</w:t>
      </w:r>
      <w:r w:rsidR="00C107C2">
        <w:t xml:space="preserve"> </w:t>
      </w:r>
      <w:r w:rsidR="00D26770">
        <w:t>T</w:t>
      </w:r>
      <w:r>
        <w:t xml:space="preserve">he borrowing </w:t>
      </w:r>
      <w:r w:rsidR="00B04EE1">
        <w:t>Division</w:t>
      </w:r>
      <w:r w:rsidR="00D26770">
        <w:t xml:space="preserve"> </w:t>
      </w:r>
      <w:r>
        <w:t xml:space="preserve">will be charged principal and interest </w:t>
      </w:r>
      <w:r w:rsidR="00D26770">
        <w:t>bia</w:t>
      </w:r>
      <w:r w:rsidR="006E0A5A">
        <w:t>n</w:t>
      </w:r>
      <w:r w:rsidR="00D26770">
        <w:t>nually</w:t>
      </w:r>
      <w:r w:rsidR="00A02088">
        <w:t>,</w:t>
      </w:r>
      <w:r w:rsidR="00D26770">
        <w:t xml:space="preserve"> </w:t>
      </w:r>
      <w:r>
        <w:t>based on the amortization</w:t>
      </w:r>
      <w:r w:rsidR="00C107C2">
        <w:t xml:space="preserve"> </w:t>
      </w:r>
      <w:r>
        <w:t>schedule provided</w:t>
      </w:r>
      <w:r w:rsidR="001E2A82">
        <w:t xml:space="preserve">. </w:t>
      </w:r>
      <w:r w:rsidR="00134379">
        <w:t>The Controller’s Office will record entries</w:t>
      </w:r>
      <w:r>
        <w:t>; interest will be charged on the</w:t>
      </w:r>
      <w:r w:rsidR="004A6889">
        <w:t xml:space="preserve"> </w:t>
      </w:r>
      <w:r>
        <w:t>outstanding loan balance</w:t>
      </w:r>
      <w:r w:rsidR="00411C86">
        <w:t>,</w:t>
      </w:r>
      <w:r>
        <w:t xml:space="preserve"> until the loan is paid in full</w:t>
      </w:r>
      <w:r w:rsidR="00134379">
        <w:t>.</w:t>
      </w:r>
    </w:p>
    <w:p w14:paraId="72EBC2D0" w14:textId="77777777" w:rsidR="00184D9A" w:rsidRDefault="00184D9A" w:rsidP="00184D9A">
      <w:pPr>
        <w:spacing w:after="0" w:line="240" w:lineRule="auto"/>
        <w:jc w:val="both"/>
        <w:rPr>
          <w:b/>
          <w:bCs/>
          <w:u w:val="single"/>
        </w:rPr>
      </w:pPr>
    </w:p>
    <w:p w14:paraId="660A8F5C" w14:textId="0A72D897" w:rsidR="00FB7BC0" w:rsidRPr="004A6889" w:rsidRDefault="00FB7BC0" w:rsidP="00184D9A">
      <w:pPr>
        <w:spacing w:after="0" w:line="240" w:lineRule="auto"/>
        <w:jc w:val="both"/>
        <w:rPr>
          <w:b/>
          <w:bCs/>
          <w:u w:val="single"/>
        </w:rPr>
      </w:pPr>
      <w:r w:rsidRPr="004A6889">
        <w:rPr>
          <w:b/>
          <w:bCs/>
          <w:u w:val="single"/>
        </w:rPr>
        <w:t>PAYMENT PROCESS:</w:t>
      </w:r>
    </w:p>
    <w:p w14:paraId="3E2AB043" w14:textId="7540B476" w:rsidR="00FB7BC0" w:rsidRDefault="00FB7BC0" w:rsidP="00184D9A">
      <w:pPr>
        <w:spacing w:after="0" w:line="240" w:lineRule="auto"/>
        <w:jc w:val="both"/>
      </w:pPr>
      <w:r>
        <w:t xml:space="preserve">Borrowers will be charged </w:t>
      </w:r>
      <w:r w:rsidR="004A6889">
        <w:t>principal</w:t>
      </w:r>
      <w:r>
        <w:t xml:space="preserve"> and </w:t>
      </w:r>
      <w:r w:rsidR="00167852">
        <w:t>interest biannual</w:t>
      </w:r>
      <w:r w:rsidR="00D26770">
        <w:t>ly</w:t>
      </w:r>
      <w:r w:rsidR="007459F8">
        <w:t>,</w:t>
      </w:r>
      <w:r>
        <w:t xml:space="preserve"> based on the amortization schedule provided at the loan closing. Entries will be recorded by </w:t>
      </w:r>
      <w:r w:rsidR="001D1DD0">
        <w:t xml:space="preserve">the </w:t>
      </w:r>
      <w:r w:rsidR="004A6889">
        <w:t xml:space="preserve">Controller’s Office </w:t>
      </w:r>
      <w:r>
        <w:t xml:space="preserve">to the </w:t>
      </w:r>
      <w:r w:rsidR="009D1225">
        <w:t xml:space="preserve">respective </w:t>
      </w:r>
      <w:r w:rsidR="004A6889">
        <w:t>Auxiliary Fund</w:t>
      </w:r>
      <w:r>
        <w:t xml:space="preserve">. Any changes to </w:t>
      </w:r>
      <w:r w:rsidR="004A6889">
        <w:t>such agreements</w:t>
      </w:r>
      <w:r>
        <w:t xml:space="preserve"> for </w:t>
      </w:r>
      <w:r w:rsidR="00D26770">
        <w:t xml:space="preserve">principal </w:t>
      </w:r>
      <w:r w:rsidR="001D1DD0">
        <w:t xml:space="preserve">and </w:t>
      </w:r>
      <w:r w:rsidR="00D26770">
        <w:t xml:space="preserve">interest </w:t>
      </w:r>
      <w:r>
        <w:t xml:space="preserve">payments need to be communicated to the </w:t>
      </w:r>
      <w:r w:rsidR="001D1DD0">
        <w:t>VP/</w:t>
      </w:r>
      <w:r w:rsidR="004A6889">
        <w:t>CFO</w:t>
      </w:r>
      <w:r>
        <w:t>. Borrowers are responsible for making sure that sufficient funds are available at the time of the payment.</w:t>
      </w:r>
    </w:p>
    <w:p w14:paraId="0E4F3494" w14:textId="77777777" w:rsidR="00184D9A" w:rsidRDefault="00184D9A" w:rsidP="00184D9A">
      <w:pPr>
        <w:spacing w:after="0" w:line="240" w:lineRule="auto"/>
        <w:jc w:val="both"/>
        <w:rPr>
          <w:b/>
          <w:bCs/>
          <w:u w:val="single"/>
        </w:rPr>
      </w:pPr>
    </w:p>
    <w:p w14:paraId="7AA28689" w14:textId="599D9AF9" w:rsidR="00FB7BC0" w:rsidRPr="004A6889" w:rsidRDefault="004A6889" w:rsidP="00184D9A">
      <w:pPr>
        <w:spacing w:after="0" w:line="240" w:lineRule="auto"/>
        <w:jc w:val="both"/>
        <w:rPr>
          <w:b/>
          <w:bCs/>
          <w:u w:val="single"/>
        </w:rPr>
      </w:pPr>
      <w:r w:rsidRPr="004A6889">
        <w:rPr>
          <w:b/>
          <w:bCs/>
          <w:u w:val="single"/>
        </w:rPr>
        <w:t>L</w:t>
      </w:r>
      <w:r w:rsidR="00FB7BC0" w:rsidRPr="004A6889">
        <w:rPr>
          <w:b/>
          <w:bCs/>
          <w:u w:val="single"/>
        </w:rPr>
        <w:t>OAN APPLICATION:</w:t>
      </w:r>
    </w:p>
    <w:p w14:paraId="5E4952CA" w14:textId="22D9A8E9" w:rsidR="00070B92" w:rsidRDefault="00FB7BC0" w:rsidP="00184D9A">
      <w:pPr>
        <w:spacing w:after="0" w:line="240" w:lineRule="auto"/>
        <w:jc w:val="both"/>
      </w:pPr>
      <w:r>
        <w:t xml:space="preserve">Please contact </w:t>
      </w:r>
      <w:r w:rsidR="001D1DD0">
        <w:t>the VP/</w:t>
      </w:r>
      <w:r w:rsidR="004A6889">
        <w:t xml:space="preserve">CFO’s </w:t>
      </w:r>
      <w:r w:rsidR="00411C86">
        <w:t>O</w:t>
      </w:r>
      <w:r w:rsidR="004A6889">
        <w:t>ffice</w:t>
      </w:r>
      <w:r>
        <w:t xml:space="preserve"> with any questions.</w:t>
      </w:r>
      <w:r w:rsidR="004A6889">
        <w:t xml:space="preserve"> </w:t>
      </w:r>
      <w:r>
        <w:t xml:space="preserve">The </w:t>
      </w:r>
      <w:r w:rsidR="001D1DD0">
        <w:t>VP/</w:t>
      </w:r>
      <w:r w:rsidR="004A6889">
        <w:t xml:space="preserve">CFO </w:t>
      </w:r>
      <w:r w:rsidR="001D1DD0">
        <w:t xml:space="preserve">and the </w:t>
      </w:r>
      <w:r w:rsidR="004A6889">
        <w:t xml:space="preserve">Controller’s Office </w:t>
      </w:r>
      <w:r>
        <w:t>team will confirm receipt of all applications and provide a processing timeline.</w:t>
      </w:r>
    </w:p>
    <w:p w14:paraId="532567B3" w14:textId="77777777" w:rsidR="00414BB5" w:rsidRDefault="00414BB5" w:rsidP="00184D9A">
      <w:pPr>
        <w:spacing w:after="0" w:line="240" w:lineRule="auto"/>
        <w:jc w:val="both"/>
      </w:pPr>
    </w:p>
    <w:p w14:paraId="5F09DC7D" w14:textId="3F4CFDDB" w:rsidR="00244BB7" w:rsidRDefault="00244BB7" w:rsidP="00244BB7">
      <w:pPr>
        <w:spacing w:after="0" w:line="240" w:lineRule="auto"/>
        <w:jc w:val="both"/>
      </w:pPr>
      <w:r>
        <w:t xml:space="preserve">Effective Date: </w:t>
      </w:r>
      <w:r w:rsidR="009E0BCE">
        <w:t>April</w:t>
      </w:r>
      <w:r>
        <w:t xml:space="preserve"> 2024</w:t>
      </w:r>
    </w:p>
    <w:p w14:paraId="527C15DA" w14:textId="77777777" w:rsidR="00414BB5" w:rsidRDefault="00414BB5" w:rsidP="00184D9A">
      <w:pPr>
        <w:spacing w:after="0" w:line="240" w:lineRule="auto"/>
        <w:jc w:val="both"/>
      </w:pPr>
    </w:p>
    <w:sectPr w:rsidR="00414BB5" w:rsidSect="00244BB7">
      <w:headerReference w:type="even" r:id="rId7"/>
      <w:headerReference w:type="default" r:id="rId8"/>
      <w:headerReference w:type="firs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A909D" w14:textId="77777777" w:rsidR="0027640D" w:rsidRDefault="0027640D" w:rsidP="009F5D6F">
      <w:pPr>
        <w:spacing w:after="0" w:line="240" w:lineRule="auto"/>
      </w:pPr>
      <w:r>
        <w:separator/>
      </w:r>
    </w:p>
  </w:endnote>
  <w:endnote w:type="continuationSeparator" w:id="0">
    <w:p w14:paraId="53F87021" w14:textId="77777777" w:rsidR="0027640D" w:rsidRDefault="0027640D" w:rsidP="009F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AFF85" w14:textId="77777777" w:rsidR="0027640D" w:rsidRDefault="0027640D" w:rsidP="009F5D6F">
      <w:pPr>
        <w:spacing w:after="0" w:line="240" w:lineRule="auto"/>
      </w:pPr>
      <w:r>
        <w:separator/>
      </w:r>
    </w:p>
  </w:footnote>
  <w:footnote w:type="continuationSeparator" w:id="0">
    <w:p w14:paraId="2821D9A0" w14:textId="77777777" w:rsidR="0027640D" w:rsidRDefault="0027640D" w:rsidP="009F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9A0C6" w14:textId="036900A0" w:rsidR="009F5D6F" w:rsidRDefault="009F5D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2296" w14:textId="6E49A3EF" w:rsidR="009F5D6F" w:rsidRDefault="009F5D6F" w:rsidP="009F5D6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DD265" w14:textId="1C2CF2BD" w:rsidR="009F5D6F" w:rsidRDefault="009F5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01CBA"/>
    <w:multiLevelType w:val="hybridMultilevel"/>
    <w:tmpl w:val="B170A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2319A"/>
    <w:multiLevelType w:val="hybridMultilevel"/>
    <w:tmpl w:val="2CEA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429751">
    <w:abstractNumId w:val="1"/>
  </w:num>
  <w:num w:numId="2" w16cid:durableId="97730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0tDQ2NTKyMDC1sDBS0lEKTi0uzszPAykwqwUA/r+XxywAAAA="/>
  </w:docVars>
  <w:rsids>
    <w:rsidRoot w:val="00FB7BC0"/>
    <w:rsid w:val="00046AE5"/>
    <w:rsid w:val="00070B92"/>
    <w:rsid w:val="000E6D58"/>
    <w:rsid w:val="0010523D"/>
    <w:rsid w:val="00134379"/>
    <w:rsid w:val="00167852"/>
    <w:rsid w:val="00184D9A"/>
    <w:rsid w:val="001C350F"/>
    <w:rsid w:val="001D1DD0"/>
    <w:rsid w:val="001E2A82"/>
    <w:rsid w:val="00221346"/>
    <w:rsid w:val="00221ADC"/>
    <w:rsid w:val="00244BB7"/>
    <w:rsid w:val="00272EB3"/>
    <w:rsid w:val="0027640D"/>
    <w:rsid w:val="003C7FC3"/>
    <w:rsid w:val="00411C86"/>
    <w:rsid w:val="00414BB5"/>
    <w:rsid w:val="004A6889"/>
    <w:rsid w:val="004E19A0"/>
    <w:rsid w:val="00526A7E"/>
    <w:rsid w:val="005705BA"/>
    <w:rsid w:val="006E0A5A"/>
    <w:rsid w:val="00713D54"/>
    <w:rsid w:val="007459F8"/>
    <w:rsid w:val="007B15FF"/>
    <w:rsid w:val="009912F3"/>
    <w:rsid w:val="009C23A0"/>
    <w:rsid w:val="009D1225"/>
    <w:rsid w:val="009E0BCE"/>
    <w:rsid w:val="009F5D6F"/>
    <w:rsid w:val="00A02088"/>
    <w:rsid w:val="00A9648A"/>
    <w:rsid w:val="00B04EE1"/>
    <w:rsid w:val="00B91E26"/>
    <w:rsid w:val="00BE28EB"/>
    <w:rsid w:val="00C107C2"/>
    <w:rsid w:val="00C40B8D"/>
    <w:rsid w:val="00C65911"/>
    <w:rsid w:val="00CA0BE1"/>
    <w:rsid w:val="00CA520F"/>
    <w:rsid w:val="00CC2943"/>
    <w:rsid w:val="00D26770"/>
    <w:rsid w:val="00DA48D2"/>
    <w:rsid w:val="00E45DE0"/>
    <w:rsid w:val="00E55DF6"/>
    <w:rsid w:val="00EA4D31"/>
    <w:rsid w:val="00ED1AE4"/>
    <w:rsid w:val="00F37578"/>
    <w:rsid w:val="00F71B79"/>
    <w:rsid w:val="00FB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27072"/>
  <w15:chartTrackingRefBased/>
  <w15:docId w15:val="{A542F036-92D7-4812-A836-1DA766DF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BB7"/>
  </w:style>
  <w:style w:type="paragraph" w:styleId="Heading1">
    <w:name w:val="heading 1"/>
    <w:basedOn w:val="Normal"/>
    <w:next w:val="Normal"/>
    <w:link w:val="Heading1Char"/>
    <w:uiPriority w:val="9"/>
    <w:qFormat/>
    <w:rsid w:val="00FB7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B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5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6F"/>
  </w:style>
  <w:style w:type="paragraph" w:styleId="Footer">
    <w:name w:val="footer"/>
    <w:basedOn w:val="Normal"/>
    <w:link w:val="FooterChar"/>
    <w:uiPriority w:val="99"/>
    <w:unhideWhenUsed/>
    <w:rsid w:val="009F5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6F"/>
  </w:style>
  <w:style w:type="paragraph" w:styleId="Revision">
    <w:name w:val="Revision"/>
    <w:hidden/>
    <w:uiPriority w:val="99"/>
    <w:semiHidden/>
    <w:rsid w:val="001D1D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1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D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4426</Characters>
  <Application>Microsoft Office Word</Application>
  <DocSecurity>0</DocSecurity>
  <Lines>94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UWF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Djerlek</dc:creator>
  <cp:keywords/>
  <dc:description/>
  <cp:lastModifiedBy>Tiffany Nisewonger</cp:lastModifiedBy>
  <cp:revision>2</cp:revision>
  <cp:lastPrinted>2024-04-16T18:08:00Z</cp:lastPrinted>
  <dcterms:created xsi:type="dcterms:W3CDTF">2024-05-17T14:17:00Z</dcterms:created>
  <dcterms:modified xsi:type="dcterms:W3CDTF">2024-05-17T14:17:00Z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37c2b4ff94ea6ac31c4df90be70f1a4441cc8e9c39a93945cff6e9088ec918a7</vt:lpwstr>
  </property>
</Properties>
</file>